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28D52E53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5881F9D0" w:rsidR="00D26F24" w:rsidRDefault="00D26F24">
      <w:r>
        <w:t>Sehr geehrte Mitarbeitende,</w:t>
      </w:r>
    </w:p>
    <w:p w14:paraId="06B97EAD" w14:textId="153D753D" w:rsidR="00D26F24" w:rsidRDefault="00D26F24"/>
    <w:p w14:paraId="7ADDA662" w14:textId="2DE921EA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Pflegeunterstützungs</w:t>
      </w:r>
      <w:r w:rsidR="0086014B">
        <w:t>-</w:t>
      </w:r>
      <w:bookmarkStart w:id="0" w:name="_GoBack"/>
      <w:bookmarkEnd w:id="0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654DB5" w:rsidRPr="00654DB5" w14:paraId="44398D8C" w14:textId="77777777" w:rsidTr="00C718C8">
        <w:trPr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7D7ECB" w14:textId="42C580C0" w:rsidR="00654DB5" w:rsidRPr="00654DB5" w:rsidRDefault="00654DB5" w:rsidP="0086014B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Es gelten somit folgende Beitragssätze</w:t>
            </w:r>
            <w:r w:rsidR="0086014B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br/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ab </w:t>
            </w:r>
            <w:r w:rsidR="002F0642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1. Juli 2023</w:t>
            </w: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761CBE" w14:textId="77777777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 </w:t>
            </w:r>
          </w:p>
        </w:tc>
      </w:tr>
      <w:tr w:rsidR="00654DB5" w:rsidRPr="00654DB5" w14:paraId="77442FB2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F81CA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 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F7143D6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4,00% (Arbeitnehmer-Anteil: 2,3%)</w:t>
            </w:r>
          </w:p>
        </w:tc>
      </w:tr>
      <w:tr w:rsidR="00654DB5" w:rsidRPr="00654DB5" w14:paraId="1C3CBD2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BF5707" w14:textId="77777777" w:rsid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</w:t>
            </w:r>
          </w:p>
          <w:p w14:paraId="0DE6C065" w14:textId="2528AB09" w:rsidR="0075575F" w:rsidRPr="00654DB5" w:rsidRDefault="0075575F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(Beitragssatz bleibt lebenslang bestehen)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86F9890" w14:textId="6656A3B3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3,40</w:t>
            </w:r>
            <w:r w:rsidR="001E7465"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% (</w:t>
            </w: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Arbeitnehmer-Anteil: 1,7%)</w:t>
            </w:r>
          </w:p>
        </w:tc>
      </w:tr>
      <w:tr w:rsidR="00654DB5" w:rsidRPr="00654DB5" w14:paraId="7FD4209C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131702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0A7C8E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3,15% (Arbeitnehmer-Anteil: 1,45%)</w:t>
            </w:r>
          </w:p>
        </w:tc>
      </w:tr>
      <w:tr w:rsidR="00654DB5" w:rsidRPr="00654DB5" w14:paraId="34EA2137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7F3EBD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3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3AAA78A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2,90% (Arbeitnehmer-Anteil: 1,2%)</w:t>
            </w:r>
          </w:p>
        </w:tc>
      </w:tr>
      <w:tr w:rsidR="00654DB5" w:rsidRPr="00654DB5" w14:paraId="7827826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5090AC8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EF5F4B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2,65% (Arbeitnehmer-Anteil 0,95%)</w:t>
            </w:r>
          </w:p>
        </w:tc>
      </w:tr>
      <w:tr w:rsidR="00654DB5" w:rsidRPr="00654DB5" w14:paraId="15492DB3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EC2B88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F2E10D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2,40% (Arbeitnehmer-Anteil 0,7%)</w:t>
            </w:r>
          </w:p>
        </w:tc>
      </w:tr>
    </w:tbl>
    <w:p w14:paraId="6CE688DE" w14:textId="77777777" w:rsidR="001627E7" w:rsidRDefault="001627E7"/>
    <w:p w14:paraId="7CE7269A" w14:textId="26467F8B" w:rsidR="00011E25" w:rsidRDefault="0023715D"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xx.xx.xxxx</w:t>
      </w:r>
      <w:proofErr w:type="spell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F3B7" w14:textId="4CE1769E" w:rsidR="008A0138" w:rsidRDefault="008A01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4"/>
    <w:rsid w:val="00011E25"/>
    <w:rsid w:val="00051963"/>
    <w:rsid w:val="000A5D69"/>
    <w:rsid w:val="000B101D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61B13"/>
    <w:rsid w:val="003B62B3"/>
    <w:rsid w:val="003C64A7"/>
    <w:rsid w:val="003D72D5"/>
    <w:rsid w:val="003F4E8F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57EF5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6014B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04E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semiHidden/>
    <w:unhideWhenUsed/>
    <w:rsid w:val="00FF0063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0138"/>
  </w:style>
  <w:style w:type="paragraph" w:styleId="Fuzeile">
    <w:name w:val="footer"/>
    <w:basedOn w:val="Standard"/>
    <w:link w:val="FuzeileZeiche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0138"/>
  </w:style>
  <w:style w:type="character" w:styleId="Kommentarzeichen">
    <w:name w:val="annotation reference"/>
    <w:basedOn w:val="Absatz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E1844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E184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6038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semiHidden/>
    <w:unhideWhenUsed/>
    <w:rsid w:val="00FF0063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0138"/>
  </w:style>
  <w:style w:type="paragraph" w:styleId="Fuzeile">
    <w:name w:val="footer"/>
    <w:basedOn w:val="Standard"/>
    <w:link w:val="FuzeileZeiche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0138"/>
  </w:style>
  <w:style w:type="character" w:styleId="Kommentarzeichen">
    <w:name w:val="annotation reference"/>
    <w:basedOn w:val="Absatz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E1844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E184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6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36847-6D1E-48E1-8DF4-006B72EC4A75}">
  <ds:schemaRefs>
    <ds:schemaRef ds:uri="http://schemas.microsoft.com/office/2006/metadata/properties"/>
    <ds:schemaRef ds:uri="http://schemas.microsoft.com/office/infopath/2007/PartnerControls"/>
    <ds:schemaRef ds:uri="db8cf50b-0a70-4eb5-93a7-dc60ebfadc67"/>
    <ds:schemaRef ds:uri="023f7d7e-e967-4700-9ed2-8c4280c02bf4"/>
  </ds:schemaRefs>
</ds:datastoreItem>
</file>

<file path=customXml/itemProps4.xml><?xml version="1.0" encoding="utf-8"?>
<ds:datastoreItem xmlns:ds="http://schemas.openxmlformats.org/officeDocument/2006/customXml" ds:itemID="{0DBDC6F1-CCCA-2449-8A27-BEFCD859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Bundesvereinigung der Deutschen Arbeitgeberverb�nde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udo steinort</cp:lastModifiedBy>
  <cp:revision>2</cp:revision>
  <dcterms:created xsi:type="dcterms:W3CDTF">2023-06-14T09:43:00Z</dcterms:created>
  <dcterms:modified xsi:type="dcterms:W3CDTF">2023-06-14T09:43:00Z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